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50A3" w:rsidRPr="005247AA" w:rsidRDefault="001336AB" w:rsidP="00CC49EE">
      <w:pPr>
        <w:jc w:val="center"/>
        <w:rPr>
          <w:color w:val="808080" w:themeColor="background1" w:themeShade="80"/>
          <w:sz w:val="28"/>
          <w:szCs w:val="28"/>
          <w:u w:val="single"/>
        </w:rPr>
      </w:pPr>
      <w:r w:rsidRPr="005247AA">
        <w:rPr>
          <w:color w:val="808080" w:themeColor="background1" w:themeShade="80"/>
          <w:sz w:val="28"/>
          <w:szCs w:val="28"/>
          <w:u w:val="single"/>
        </w:rPr>
        <w:t>K-12 Science Balanced Instruction</w:t>
      </w:r>
    </w:p>
    <w:p w:rsidR="00CC49EE" w:rsidRPr="00CC49EE" w:rsidRDefault="00CC49EE" w:rsidP="00CC49EE">
      <w:pPr>
        <w:jc w:val="center"/>
        <w:rPr>
          <w:b/>
          <w:color w:val="auto"/>
          <w:sz w:val="26"/>
          <w:szCs w:val="26"/>
          <w:u w:val="single"/>
        </w:rPr>
      </w:pPr>
    </w:p>
    <w:tbl>
      <w:tblPr>
        <w:tblStyle w:val="GridTable6Colorful"/>
        <w:tblW w:w="14215" w:type="dxa"/>
        <w:tblLayout w:type="fixed"/>
        <w:tblLook w:val="0600" w:firstRow="0" w:lastRow="0" w:firstColumn="0" w:lastColumn="0" w:noHBand="1" w:noVBand="1"/>
      </w:tblPr>
      <w:tblGrid>
        <w:gridCol w:w="8185"/>
        <w:gridCol w:w="6030"/>
      </w:tblGrid>
      <w:tr w:rsidR="00CC49EE" w:rsidRPr="00EE4713" w:rsidTr="000A76F5">
        <w:trPr>
          <w:trHeight w:val="638"/>
        </w:trPr>
        <w:tc>
          <w:tcPr>
            <w:tcW w:w="8185" w:type="dxa"/>
            <w:shd w:val="clear" w:color="auto" w:fill="E7E6E6" w:themeFill="background2"/>
          </w:tcPr>
          <w:p w:rsidR="00CC49EE" w:rsidRDefault="00CC49EE">
            <w:pPr>
              <w:rPr>
                <w:rFonts w:asciiTheme="minorHAnsi" w:hAnsiTheme="minorHAnsi"/>
                <w:b/>
                <w:color w:val="auto"/>
                <w:sz w:val="24"/>
                <w:szCs w:val="24"/>
              </w:rPr>
            </w:pPr>
          </w:p>
          <w:p w:rsidR="00CC49EE" w:rsidRPr="00CC49EE" w:rsidRDefault="00CC49EE" w:rsidP="00CC49EE">
            <w:pPr>
              <w:jc w:val="center"/>
              <w:rPr>
                <w:rFonts w:asciiTheme="minorHAnsi" w:hAnsiTheme="minorHAnsi"/>
                <w:b/>
                <w:color w:val="920000"/>
                <w:sz w:val="24"/>
                <w:szCs w:val="24"/>
              </w:rPr>
            </w:pPr>
            <w:r w:rsidRPr="00CC49EE">
              <w:rPr>
                <w:rFonts w:asciiTheme="minorHAnsi" w:hAnsiTheme="minorHAnsi"/>
                <w:b/>
                <w:color w:val="920000"/>
                <w:sz w:val="24"/>
                <w:szCs w:val="24"/>
              </w:rPr>
              <w:t>Balanced Science Actions that Support TKES</w:t>
            </w:r>
          </w:p>
          <w:p w:rsidR="00CC49EE" w:rsidRPr="00EE4713" w:rsidRDefault="00CC49EE">
            <w:pPr>
              <w:rPr>
                <w:rFonts w:asciiTheme="minorHAnsi" w:hAnsiTheme="minorHAnsi"/>
                <w:b/>
                <w:color w:val="auto"/>
                <w:sz w:val="24"/>
                <w:szCs w:val="24"/>
              </w:rPr>
            </w:pPr>
          </w:p>
        </w:tc>
        <w:tc>
          <w:tcPr>
            <w:tcW w:w="6030" w:type="dxa"/>
            <w:shd w:val="clear" w:color="auto" w:fill="E7E6E6" w:themeFill="background2"/>
          </w:tcPr>
          <w:p w:rsidR="00CC49EE" w:rsidRDefault="00CC49EE">
            <w:pPr>
              <w:rPr>
                <w:rFonts w:asciiTheme="minorHAnsi" w:hAnsiTheme="minorHAnsi"/>
                <w:b/>
                <w:color w:val="auto"/>
                <w:sz w:val="24"/>
                <w:szCs w:val="24"/>
              </w:rPr>
            </w:pPr>
          </w:p>
          <w:p w:rsidR="00CC49EE" w:rsidRPr="00EE4713" w:rsidRDefault="00CC49EE" w:rsidP="00CC49EE">
            <w:pPr>
              <w:jc w:val="center"/>
              <w:rPr>
                <w:rFonts w:asciiTheme="minorHAnsi" w:hAnsiTheme="minorHAnsi"/>
                <w:b/>
                <w:color w:val="auto"/>
                <w:sz w:val="24"/>
                <w:szCs w:val="24"/>
              </w:rPr>
            </w:pPr>
            <w:r w:rsidRPr="00CC49EE">
              <w:rPr>
                <w:rFonts w:asciiTheme="minorHAnsi" w:hAnsiTheme="minorHAnsi"/>
                <w:b/>
                <w:color w:val="920000"/>
                <w:sz w:val="24"/>
                <w:szCs w:val="24"/>
              </w:rPr>
              <w:t>Strengths/Next Steps</w:t>
            </w:r>
          </w:p>
        </w:tc>
      </w:tr>
      <w:tr w:rsidR="001336AB" w:rsidRPr="00EE4713" w:rsidTr="000A76F5">
        <w:trPr>
          <w:trHeight w:val="400"/>
        </w:trPr>
        <w:tc>
          <w:tcPr>
            <w:tcW w:w="8185" w:type="dxa"/>
          </w:tcPr>
          <w:p w:rsidR="005247AA" w:rsidRDefault="005247AA" w:rsidP="005247AA">
            <w:pPr>
              <w:rPr>
                <w:rFonts w:asciiTheme="minorHAnsi" w:hAnsiTheme="minorHAnsi"/>
                <w:b/>
                <w:color w:val="auto"/>
                <w:sz w:val="20"/>
                <w:szCs w:val="20"/>
              </w:rPr>
            </w:pPr>
          </w:p>
          <w:p w:rsidR="005247AA" w:rsidRPr="005247AA" w:rsidRDefault="005247AA" w:rsidP="005247AA">
            <w:pPr>
              <w:rPr>
                <w:rFonts w:asciiTheme="minorHAnsi" w:hAnsiTheme="minorHAnsi"/>
                <w:b/>
                <w:color w:val="auto"/>
                <w:sz w:val="20"/>
                <w:szCs w:val="20"/>
              </w:rPr>
            </w:pPr>
            <w:r w:rsidRPr="005247AA">
              <w:rPr>
                <w:rFonts w:asciiTheme="minorHAnsi" w:hAnsiTheme="minorHAnsi"/>
                <w:b/>
                <w:color w:val="auto"/>
                <w:sz w:val="20"/>
                <w:szCs w:val="20"/>
              </w:rPr>
              <w:t>1.</w:t>
            </w:r>
            <w:r>
              <w:rPr>
                <w:rFonts w:asciiTheme="minorHAnsi" w:hAnsiTheme="minorHAnsi"/>
                <w:b/>
                <w:color w:val="auto"/>
                <w:sz w:val="20"/>
                <w:szCs w:val="20"/>
              </w:rPr>
              <w:t xml:space="preserve"> </w:t>
            </w:r>
            <w:r w:rsidRPr="005247AA">
              <w:rPr>
                <w:rFonts w:asciiTheme="minorHAnsi" w:hAnsiTheme="minorHAnsi"/>
                <w:b/>
                <w:color w:val="auto"/>
                <w:sz w:val="20"/>
                <w:szCs w:val="20"/>
              </w:rPr>
              <w:t>Professional Knowledge</w:t>
            </w:r>
          </w:p>
          <w:p w:rsidR="005247AA" w:rsidRPr="005247AA" w:rsidRDefault="005247AA" w:rsidP="005247AA"/>
          <w:p w:rsidR="001336AB" w:rsidRPr="00965B23" w:rsidRDefault="001336AB" w:rsidP="00965B23">
            <w:pPr>
              <w:widowControl w:val="0"/>
              <w:numPr>
                <w:ilvl w:val="0"/>
                <w:numId w:val="8"/>
              </w:numPr>
              <w:ind w:left="255" w:hanging="270"/>
              <w:rPr>
                <w:rFonts w:asciiTheme="minorHAnsi" w:hAnsiTheme="minorHAnsi"/>
                <w:color w:val="auto"/>
                <w:sz w:val="20"/>
                <w:szCs w:val="20"/>
              </w:rPr>
            </w:pPr>
            <w:r w:rsidRPr="00EE4713">
              <w:rPr>
                <w:rFonts w:asciiTheme="minorHAnsi" w:hAnsiTheme="minorHAnsi"/>
                <w:color w:val="auto"/>
                <w:sz w:val="20"/>
                <w:szCs w:val="20"/>
              </w:rPr>
              <w:t xml:space="preserve">Lesson addresses Science </w:t>
            </w:r>
            <w:r>
              <w:rPr>
                <w:rFonts w:asciiTheme="minorHAnsi" w:hAnsiTheme="minorHAnsi"/>
                <w:color w:val="auto"/>
                <w:sz w:val="20"/>
                <w:szCs w:val="20"/>
              </w:rPr>
              <w:t>CTLS Standard</w:t>
            </w:r>
            <w:r w:rsidRPr="00EE4713">
              <w:rPr>
                <w:rFonts w:asciiTheme="minorHAnsi" w:hAnsiTheme="minorHAnsi"/>
                <w:color w:val="auto"/>
                <w:sz w:val="20"/>
                <w:szCs w:val="20"/>
              </w:rPr>
              <w:t xml:space="preserve"> by e</w:t>
            </w:r>
            <w:r w:rsidR="00320FE4">
              <w:rPr>
                <w:rFonts w:asciiTheme="minorHAnsi" w:hAnsiTheme="minorHAnsi"/>
                <w:color w:val="auto"/>
                <w:sz w:val="20"/>
                <w:szCs w:val="20"/>
              </w:rPr>
              <w:t>ngaging</w:t>
            </w:r>
            <w:r w:rsidRPr="005247AA">
              <w:rPr>
                <w:rFonts w:asciiTheme="minorHAnsi" w:hAnsiTheme="minorHAnsi"/>
                <w:color w:val="auto"/>
                <w:sz w:val="20"/>
                <w:szCs w:val="20"/>
              </w:rPr>
              <w:t xml:space="preserve"> students in using core ideas, science and engineering practices, and crosscutting concepts to make sense of phenomena and/or design solutions to problems.</w:t>
            </w:r>
          </w:p>
          <w:p w:rsidR="001336AB" w:rsidRDefault="001336AB">
            <w:pPr>
              <w:widowControl w:val="0"/>
              <w:numPr>
                <w:ilvl w:val="0"/>
                <w:numId w:val="8"/>
              </w:numPr>
              <w:ind w:left="255" w:hanging="270"/>
              <w:rPr>
                <w:rFonts w:asciiTheme="minorHAnsi" w:hAnsiTheme="minorHAnsi"/>
                <w:color w:val="auto"/>
                <w:sz w:val="20"/>
                <w:szCs w:val="20"/>
              </w:rPr>
            </w:pPr>
            <w:r w:rsidRPr="00EE4713">
              <w:rPr>
                <w:rFonts w:asciiTheme="minorHAnsi" w:hAnsiTheme="minorHAnsi"/>
                <w:color w:val="auto"/>
                <w:sz w:val="20"/>
                <w:szCs w:val="20"/>
              </w:rPr>
              <w:t>Teacher demon</w:t>
            </w:r>
            <w:r w:rsidR="00320FE4">
              <w:rPr>
                <w:rFonts w:asciiTheme="minorHAnsi" w:hAnsiTheme="minorHAnsi"/>
                <w:color w:val="auto"/>
                <w:sz w:val="20"/>
                <w:szCs w:val="20"/>
              </w:rPr>
              <w:t xml:space="preserve">strates appropriate </w:t>
            </w:r>
            <w:r w:rsidRPr="00EE4713">
              <w:rPr>
                <w:rFonts w:asciiTheme="minorHAnsi" w:hAnsiTheme="minorHAnsi"/>
                <w:color w:val="auto"/>
                <w:sz w:val="20"/>
                <w:szCs w:val="20"/>
              </w:rPr>
              <w:t>content knowledge and best practices to facilitate student learning of core ideas, practices, and crosscutting concepts.</w:t>
            </w:r>
          </w:p>
          <w:p w:rsidR="00320FE4" w:rsidRPr="00EE4713" w:rsidRDefault="00320FE4" w:rsidP="00965B23">
            <w:pPr>
              <w:widowControl w:val="0"/>
              <w:rPr>
                <w:rFonts w:asciiTheme="minorHAnsi" w:hAnsiTheme="minorHAnsi"/>
                <w:color w:val="auto"/>
                <w:sz w:val="20"/>
                <w:szCs w:val="20"/>
              </w:rPr>
            </w:pPr>
          </w:p>
        </w:tc>
        <w:tc>
          <w:tcPr>
            <w:tcW w:w="6030" w:type="dxa"/>
          </w:tcPr>
          <w:p w:rsidR="001336AB" w:rsidRPr="00EE4713" w:rsidRDefault="001336AB" w:rsidP="009A5652">
            <w:pPr>
              <w:widowControl w:val="0"/>
              <w:ind w:left="255"/>
              <w:rPr>
                <w:rFonts w:asciiTheme="minorHAnsi" w:hAnsiTheme="minorHAnsi"/>
                <w:color w:val="auto"/>
                <w:sz w:val="20"/>
                <w:szCs w:val="20"/>
              </w:rPr>
            </w:pPr>
          </w:p>
        </w:tc>
      </w:tr>
      <w:tr w:rsidR="001336AB" w:rsidRPr="00EE4713" w:rsidTr="000A76F5">
        <w:tc>
          <w:tcPr>
            <w:tcW w:w="8185" w:type="dxa"/>
          </w:tcPr>
          <w:p w:rsidR="005247AA" w:rsidRDefault="005247AA" w:rsidP="005247AA">
            <w:pPr>
              <w:widowControl w:val="0"/>
              <w:rPr>
                <w:rFonts w:asciiTheme="minorHAnsi" w:hAnsiTheme="minorHAnsi"/>
                <w:b/>
                <w:color w:val="auto"/>
                <w:sz w:val="20"/>
                <w:szCs w:val="20"/>
              </w:rPr>
            </w:pPr>
          </w:p>
          <w:p w:rsidR="005247AA" w:rsidRDefault="005247AA" w:rsidP="005247AA">
            <w:pPr>
              <w:widowControl w:val="0"/>
              <w:rPr>
                <w:rFonts w:asciiTheme="minorHAnsi" w:hAnsiTheme="minorHAnsi"/>
                <w:b/>
                <w:color w:val="auto"/>
                <w:sz w:val="20"/>
                <w:szCs w:val="20"/>
              </w:rPr>
            </w:pPr>
            <w:r w:rsidRPr="00EE4713">
              <w:rPr>
                <w:rFonts w:asciiTheme="minorHAnsi" w:hAnsiTheme="minorHAnsi"/>
                <w:b/>
                <w:color w:val="auto"/>
                <w:sz w:val="20"/>
                <w:szCs w:val="20"/>
              </w:rPr>
              <w:t>2. Instructional Planning</w:t>
            </w:r>
          </w:p>
          <w:p w:rsidR="005247AA" w:rsidRDefault="005247AA" w:rsidP="005247AA">
            <w:pPr>
              <w:widowControl w:val="0"/>
              <w:rPr>
                <w:rFonts w:asciiTheme="minorHAnsi" w:hAnsiTheme="minorHAnsi"/>
                <w:color w:val="auto"/>
                <w:sz w:val="20"/>
                <w:szCs w:val="20"/>
              </w:rPr>
            </w:pPr>
          </w:p>
          <w:p w:rsidR="001336AB" w:rsidRPr="00965B23" w:rsidRDefault="001336AB" w:rsidP="00965B23">
            <w:pPr>
              <w:widowControl w:val="0"/>
              <w:numPr>
                <w:ilvl w:val="0"/>
                <w:numId w:val="8"/>
              </w:numPr>
              <w:ind w:left="255" w:hanging="270"/>
              <w:rPr>
                <w:rFonts w:asciiTheme="minorHAnsi" w:hAnsiTheme="minorHAnsi"/>
                <w:color w:val="auto"/>
                <w:sz w:val="20"/>
                <w:szCs w:val="20"/>
              </w:rPr>
            </w:pPr>
            <w:r w:rsidRPr="00EE4713">
              <w:rPr>
                <w:rFonts w:asciiTheme="minorHAnsi" w:hAnsiTheme="minorHAnsi"/>
                <w:color w:val="auto"/>
                <w:sz w:val="20"/>
                <w:szCs w:val="20"/>
              </w:rPr>
              <w:t>Lesson is part of a coherent learning sequence in which students are focused on “figuring out” phenomena and not just “learning about” science concepts.</w:t>
            </w:r>
          </w:p>
          <w:p w:rsidR="00320FE4" w:rsidRPr="00965B23" w:rsidRDefault="001336AB" w:rsidP="00965B23">
            <w:pPr>
              <w:widowControl w:val="0"/>
              <w:numPr>
                <w:ilvl w:val="0"/>
                <w:numId w:val="8"/>
              </w:numPr>
              <w:ind w:left="255" w:hanging="270"/>
              <w:rPr>
                <w:rFonts w:asciiTheme="minorHAnsi" w:hAnsiTheme="minorHAnsi"/>
                <w:color w:val="auto"/>
                <w:sz w:val="20"/>
                <w:szCs w:val="20"/>
              </w:rPr>
            </w:pPr>
            <w:r w:rsidRPr="00EE4713">
              <w:rPr>
                <w:rFonts w:asciiTheme="minorHAnsi" w:hAnsiTheme="minorHAnsi"/>
                <w:color w:val="auto"/>
                <w:sz w:val="20"/>
                <w:szCs w:val="20"/>
              </w:rPr>
              <w:t>Teacher uses a research-based instructional framework (e.g., 5Es, storylines, PBL) to develop lessons that fit together coherently to target a related set of standards.</w:t>
            </w:r>
          </w:p>
          <w:p w:rsidR="00320FE4" w:rsidRPr="00EE4713" w:rsidRDefault="00320FE4" w:rsidP="00320FE4">
            <w:pPr>
              <w:widowControl w:val="0"/>
              <w:ind w:left="255"/>
              <w:rPr>
                <w:rFonts w:asciiTheme="minorHAnsi" w:hAnsiTheme="minorHAnsi"/>
                <w:color w:val="auto"/>
                <w:sz w:val="20"/>
                <w:szCs w:val="20"/>
              </w:rPr>
            </w:pPr>
          </w:p>
        </w:tc>
        <w:tc>
          <w:tcPr>
            <w:tcW w:w="6030" w:type="dxa"/>
          </w:tcPr>
          <w:p w:rsidR="001336AB" w:rsidRPr="00EE4713" w:rsidRDefault="001336AB" w:rsidP="009A5652">
            <w:pPr>
              <w:widowControl w:val="0"/>
              <w:ind w:left="255"/>
              <w:rPr>
                <w:rFonts w:asciiTheme="minorHAnsi" w:hAnsiTheme="minorHAnsi"/>
                <w:color w:val="auto"/>
                <w:sz w:val="20"/>
                <w:szCs w:val="20"/>
              </w:rPr>
            </w:pPr>
          </w:p>
        </w:tc>
      </w:tr>
      <w:tr w:rsidR="001336AB" w:rsidRPr="00EE4713" w:rsidTr="000A76F5">
        <w:tc>
          <w:tcPr>
            <w:tcW w:w="8185" w:type="dxa"/>
          </w:tcPr>
          <w:p w:rsidR="005247AA" w:rsidRDefault="005247AA" w:rsidP="005247AA">
            <w:pPr>
              <w:rPr>
                <w:rFonts w:asciiTheme="minorHAnsi" w:hAnsiTheme="minorHAnsi"/>
                <w:b/>
                <w:color w:val="auto"/>
                <w:sz w:val="20"/>
                <w:szCs w:val="20"/>
              </w:rPr>
            </w:pPr>
          </w:p>
          <w:p w:rsidR="005247AA" w:rsidRDefault="005247AA" w:rsidP="005247AA">
            <w:pPr>
              <w:rPr>
                <w:rFonts w:asciiTheme="minorHAnsi" w:hAnsiTheme="minorHAnsi"/>
                <w:color w:val="auto"/>
                <w:sz w:val="20"/>
                <w:szCs w:val="20"/>
              </w:rPr>
            </w:pPr>
            <w:r>
              <w:rPr>
                <w:rFonts w:asciiTheme="minorHAnsi" w:hAnsiTheme="minorHAnsi"/>
                <w:b/>
                <w:color w:val="auto"/>
                <w:sz w:val="20"/>
                <w:szCs w:val="20"/>
              </w:rPr>
              <w:t>3. Instructional Strategies</w:t>
            </w:r>
            <w:r w:rsidRPr="00EE4713">
              <w:rPr>
                <w:rFonts w:asciiTheme="minorHAnsi" w:hAnsiTheme="minorHAnsi"/>
                <w:color w:val="auto"/>
                <w:sz w:val="20"/>
                <w:szCs w:val="20"/>
              </w:rPr>
              <w:t xml:space="preserve"> </w:t>
            </w:r>
          </w:p>
          <w:p w:rsidR="005247AA" w:rsidRPr="005247AA" w:rsidRDefault="005247AA" w:rsidP="005247AA">
            <w:pPr>
              <w:widowControl w:val="0"/>
              <w:ind w:left="255"/>
              <w:contextualSpacing/>
              <w:rPr>
                <w:rFonts w:asciiTheme="minorHAnsi" w:hAnsiTheme="minorHAnsi"/>
                <w:color w:val="auto"/>
                <w:sz w:val="20"/>
                <w:szCs w:val="20"/>
              </w:rPr>
            </w:pPr>
          </w:p>
          <w:p w:rsidR="001336AB" w:rsidRPr="00965B23" w:rsidRDefault="001336AB" w:rsidP="00965B23">
            <w:pPr>
              <w:widowControl w:val="0"/>
              <w:numPr>
                <w:ilvl w:val="0"/>
                <w:numId w:val="2"/>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Teacher us</w:t>
            </w:r>
            <w:r w:rsidR="00320FE4">
              <w:rPr>
                <w:rFonts w:asciiTheme="minorHAnsi" w:hAnsiTheme="minorHAnsi"/>
                <w:color w:val="auto"/>
                <w:sz w:val="20"/>
                <w:szCs w:val="20"/>
              </w:rPr>
              <w:t xml:space="preserve">es a variety of research-based </w:t>
            </w:r>
            <w:r w:rsidRPr="00EE4713">
              <w:rPr>
                <w:rFonts w:asciiTheme="minorHAnsi" w:hAnsiTheme="minorHAnsi"/>
                <w:color w:val="auto"/>
                <w:sz w:val="20"/>
                <w:szCs w:val="20"/>
              </w:rPr>
              <w:t>strategies and resources to actively engage students in using grade-appropriate elements of the three dimensions to make sense of phenomena and/or to design solutions to problems.</w:t>
            </w:r>
          </w:p>
          <w:p w:rsidR="001336AB" w:rsidRPr="00965B23" w:rsidRDefault="001336AB" w:rsidP="00320FE4">
            <w:pPr>
              <w:widowControl w:val="0"/>
              <w:numPr>
                <w:ilvl w:val="0"/>
                <w:numId w:val="2"/>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Students develop and investigate scientific questions relevant to the phenomenon or problem.</w:t>
            </w:r>
          </w:p>
          <w:p w:rsidR="001336AB" w:rsidRPr="00965B23" w:rsidRDefault="001336AB" w:rsidP="00320FE4">
            <w:pPr>
              <w:widowControl w:val="0"/>
              <w:numPr>
                <w:ilvl w:val="0"/>
                <w:numId w:val="2"/>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Students use all three dimensions to “figure out” phenomena and not just “learning about” or memorizing science concepts.</w:t>
            </w:r>
          </w:p>
          <w:p w:rsidR="001336AB" w:rsidRDefault="001336AB">
            <w:pPr>
              <w:widowControl w:val="0"/>
              <w:numPr>
                <w:ilvl w:val="0"/>
                <w:numId w:val="2"/>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Teacher provides opportunities for students to express, clarify, justify, interpret, and represent their ideas and respond to peer and teacher feedback orally and/or in written form as appropriate to support student’s three‐dimensional learning.</w:t>
            </w:r>
          </w:p>
          <w:p w:rsidR="00320FE4" w:rsidRPr="00EE4713" w:rsidRDefault="00320FE4" w:rsidP="00965B23">
            <w:pPr>
              <w:widowControl w:val="0"/>
              <w:contextualSpacing/>
              <w:rPr>
                <w:rFonts w:asciiTheme="minorHAnsi" w:hAnsiTheme="minorHAnsi"/>
                <w:color w:val="auto"/>
                <w:sz w:val="20"/>
                <w:szCs w:val="20"/>
              </w:rPr>
            </w:pPr>
          </w:p>
        </w:tc>
        <w:tc>
          <w:tcPr>
            <w:tcW w:w="6030" w:type="dxa"/>
          </w:tcPr>
          <w:p w:rsidR="001336AB" w:rsidRPr="00EE4713" w:rsidRDefault="001336AB" w:rsidP="009A5652">
            <w:pPr>
              <w:widowControl w:val="0"/>
              <w:ind w:left="255"/>
              <w:contextualSpacing/>
              <w:rPr>
                <w:rFonts w:asciiTheme="minorHAnsi" w:hAnsiTheme="minorHAnsi"/>
                <w:color w:val="auto"/>
                <w:sz w:val="20"/>
                <w:szCs w:val="20"/>
              </w:rPr>
            </w:pPr>
          </w:p>
        </w:tc>
      </w:tr>
      <w:tr w:rsidR="001336AB" w:rsidRPr="00EE4713" w:rsidTr="000A76F5">
        <w:tc>
          <w:tcPr>
            <w:tcW w:w="8185" w:type="dxa"/>
          </w:tcPr>
          <w:p w:rsidR="005247AA" w:rsidRDefault="005247AA" w:rsidP="005247AA">
            <w:pPr>
              <w:widowControl w:val="0"/>
              <w:ind w:left="255"/>
              <w:contextualSpacing/>
              <w:rPr>
                <w:rFonts w:asciiTheme="minorHAnsi" w:hAnsiTheme="minorHAnsi"/>
                <w:b/>
                <w:color w:val="auto"/>
                <w:sz w:val="20"/>
                <w:szCs w:val="20"/>
              </w:rPr>
            </w:pPr>
          </w:p>
          <w:p w:rsidR="005247AA" w:rsidRDefault="005247AA" w:rsidP="005247AA">
            <w:pPr>
              <w:widowControl w:val="0"/>
              <w:contextualSpacing/>
              <w:rPr>
                <w:rFonts w:asciiTheme="minorHAnsi" w:hAnsiTheme="minorHAnsi"/>
                <w:b/>
                <w:color w:val="auto"/>
                <w:sz w:val="20"/>
                <w:szCs w:val="20"/>
              </w:rPr>
            </w:pPr>
            <w:r>
              <w:rPr>
                <w:rFonts w:asciiTheme="minorHAnsi" w:hAnsiTheme="minorHAnsi"/>
                <w:b/>
                <w:color w:val="auto"/>
                <w:sz w:val="20"/>
                <w:szCs w:val="20"/>
              </w:rPr>
              <w:t>4. Differentiated Instruction</w:t>
            </w:r>
          </w:p>
          <w:p w:rsidR="005247AA" w:rsidRPr="005247AA" w:rsidRDefault="005247AA" w:rsidP="005247AA">
            <w:pPr>
              <w:widowControl w:val="0"/>
              <w:ind w:left="255"/>
              <w:contextualSpacing/>
              <w:rPr>
                <w:rFonts w:asciiTheme="minorHAnsi" w:hAnsiTheme="minorHAnsi"/>
                <w:color w:val="auto"/>
                <w:sz w:val="20"/>
                <w:szCs w:val="20"/>
              </w:rPr>
            </w:pPr>
          </w:p>
          <w:p w:rsidR="001336AB" w:rsidRPr="00965B23" w:rsidRDefault="001336AB" w:rsidP="00965B23">
            <w:pPr>
              <w:widowControl w:val="0"/>
              <w:numPr>
                <w:ilvl w:val="0"/>
                <w:numId w:val="9"/>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Teacher facilitates classroom as a scientific community working collectively to use the three dimensions to explain phenomena and design solutions to problems.</w:t>
            </w:r>
          </w:p>
          <w:p w:rsidR="001336AB" w:rsidRPr="00EE4713" w:rsidRDefault="001336AB">
            <w:pPr>
              <w:widowControl w:val="0"/>
              <w:numPr>
                <w:ilvl w:val="0"/>
                <w:numId w:val="9"/>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Within this community, teacher differentiates inst</w:t>
            </w:r>
            <w:r w:rsidR="00965B23">
              <w:rPr>
                <w:rFonts w:asciiTheme="minorHAnsi" w:hAnsiTheme="minorHAnsi"/>
                <w:color w:val="auto"/>
                <w:sz w:val="20"/>
                <w:szCs w:val="20"/>
              </w:rPr>
              <w:t>ruction to meet student needs.</w:t>
            </w:r>
            <w:bookmarkStart w:id="0" w:name="_GoBack"/>
            <w:bookmarkEnd w:id="0"/>
          </w:p>
          <w:p w:rsidR="001336AB" w:rsidRPr="00EE4713" w:rsidRDefault="001336AB" w:rsidP="00965B23">
            <w:pPr>
              <w:widowControl w:val="0"/>
              <w:contextualSpacing/>
              <w:rPr>
                <w:rFonts w:asciiTheme="minorHAnsi" w:hAnsiTheme="minorHAnsi"/>
                <w:color w:val="auto"/>
                <w:sz w:val="20"/>
                <w:szCs w:val="20"/>
              </w:rPr>
            </w:pPr>
          </w:p>
        </w:tc>
        <w:tc>
          <w:tcPr>
            <w:tcW w:w="6030" w:type="dxa"/>
          </w:tcPr>
          <w:p w:rsidR="001336AB" w:rsidRPr="00EE4713" w:rsidRDefault="001336AB">
            <w:pPr>
              <w:widowControl w:val="0"/>
              <w:rPr>
                <w:rFonts w:asciiTheme="minorHAnsi" w:hAnsiTheme="minorHAnsi"/>
                <w:color w:val="auto"/>
                <w:sz w:val="20"/>
                <w:szCs w:val="20"/>
              </w:rPr>
            </w:pPr>
          </w:p>
        </w:tc>
      </w:tr>
      <w:tr w:rsidR="00CC49EE" w:rsidRPr="00EE4713" w:rsidTr="000A76F5">
        <w:tc>
          <w:tcPr>
            <w:tcW w:w="8185" w:type="dxa"/>
          </w:tcPr>
          <w:p w:rsidR="005247AA" w:rsidRDefault="005247AA" w:rsidP="005247AA">
            <w:pPr>
              <w:widowControl w:val="0"/>
              <w:contextualSpacing/>
              <w:rPr>
                <w:rFonts w:asciiTheme="minorHAnsi" w:hAnsiTheme="minorHAnsi"/>
                <w:b/>
                <w:color w:val="auto"/>
                <w:sz w:val="20"/>
                <w:szCs w:val="20"/>
              </w:rPr>
            </w:pPr>
            <w:r w:rsidRPr="00EE4713">
              <w:rPr>
                <w:rFonts w:asciiTheme="minorHAnsi" w:hAnsiTheme="minorHAnsi"/>
                <w:b/>
                <w:color w:val="auto"/>
                <w:sz w:val="20"/>
                <w:szCs w:val="20"/>
              </w:rPr>
              <w:lastRenderedPageBreak/>
              <w:t>5. Assessment Strategies</w:t>
            </w:r>
          </w:p>
          <w:p w:rsidR="005247AA" w:rsidRPr="005247AA" w:rsidRDefault="005247AA" w:rsidP="005247AA">
            <w:pPr>
              <w:widowControl w:val="0"/>
              <w:contextualSpacing/>
              <w:rPr>
                <w:rFonts w:asciiTheme="minorHAnsi" w:hAnsiTheme="minorHAnsi"/>
                <w:color w:val="auto"/>
                <w:sz w:val="20"/>
                <w:szCs w:val="20"/>
              </w:rPr>
            </w:pPr>
          </w:p>
          <w:p w:rsidR="00CC49EE" w:rsidRPr="00965B23" w:rsidRDefault="00CC49EE" w:rsidP="00965B23">
            <w:pPr>
              <w:widowControl w:val="0"/>
              <w:numPr>
                <w:ilvl w:val="0"/>
                <w:numId w:val="3"/>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Teacher elicits direct, observable evidence (e.g., talking, writing, or modeling) of three‐dimensional learning to make sense of phenomena or to design solutions.</w:t>
            </w:r>
          </w:p>
          <w:p w:rsidR="00CC49EE" w:rsidRDefault="00320FE4">
            <w:pPr>
              <w:widowControl w:val="0"/>
              <w:numPr>
                <w:ilvl w:val="0"/>
                <w:numId w:val="3"/>
              </w:numPr>
              <w:ind w:left="255" w:hanging="270"/>
              <w:contextualSpacing/>
              <w:rPr>
                <w:rFonts w:asciiTheme="minorHAnsi" w:hAnsiTheme="minorHAnsi"/>
                <w:color w:val="auto"/>
                <w:sz w:val="20"/>
                <w:szCs w:val="20"/>
              </w:rPr>
            </w:pPr>
            <w:r>
              <w:rPr>
                <w:rFonts w:asciiTheme="minorHAnsi" w:hAnsiTheme="minorHAnsi"/>
                <w:color w:val="auto"/>
                <w:sz w:val="20"/>
                <w:szCs w:val="20"/>
              </w:rPr>
              <w:t xml:space="preserve">Teacher utilizes </w:t>
            </w:r>
            <w:r w:rsidR="00CC49EE" w:rsidRPr="00EE4713">
              <w:rPr>
                <w:rFonts w:asciiTheme="minorHAnsi" w:hAnsiTheme="minorHAnsi"/>
                <w:color w:val="auto"/>
                <w:sz w:val="20"/>
                <w:szCs w:val="20"/>
              </w:rPr>
              <w:t xml:space="preserve">formative assessments and ongoing feedback of three‐dimensional learning throughout instruction. </w:t>
            </w:r>
          </w:p>
          <w:p w:rsidR="00741817" w:rsidRPr="00EE4713" w:rsidRDefault="00741817" w:rsidP="00741817">
            <w:pPr>
              <w:widowControl w:val="0"/>
              <w:contextualSpacing/>
              <w:rPr>
                <w:rFonts w:asciiTheme="minorHAnsi" w:hAnsiTheme="minorHAnsi"/>
                <w:color w:val="auto"/>
                <w:sz w:val="20"/>
                <w:szCs w:val="20"/>
              </w:rPr>
            </w:pPr>
          </w:p>
        </w:tc>
        <w:tc>
          <w:tcPr>
            <w:tcW w:w="6030" w:type="dxa"/>
          </w:tcPr>
          <w:p w:rsidR="00CC49EE" w:rsidRPr="00EE4713" w:rsidRDefault="00CC49EE" w:rsidP="009A5652">
            <w:pPr>
              <w:widowControl w:val="0"/>
              <w:ind w:left="255"/>
              <w:contextualSpacing/>
              <w:rPr>
                <w:rFonts w:asciiTheme="minorHAnsi" w:hAnsiTheme="minorHAnsi"/>
                <w:color w:val="auto"/>
                <w:sz w:val="20"/>
                <w:szCs w:val="20"/>
              </w:rPr>
            </w:pPr>
          </w:p>
        </w:tc>
      </w:tr>
      <w:tr w:rsidR="00CC49EE" w:rsidRPr="00EE4713" w:rsidTr="000A76F5">
        <w:tc>
          <w:tcPr>
            <w:tcW w:w="8185" w:type="dxa"/>
          </w:tcPr>
          <w:p w:rsidR="000A4CE1" w:rsidRDefault="000A4CE1" w:rsidP="005247AA">
            <w:pPr>
              <w:widowControl w:val="0"/>
              <w:contextualSpacing/>
              <w:rPr>
                <w:rFonts w:asciiTheme="minorHAnsi" w:hAnsiTheme="minorHAnsi"/>
                <w:b/>
                <w:color w:val="auto"/>
                <w:sz w:val="20"/>
                <w:szCs w:val="20"/>
              </w:rPr>
            </w:pPr>
          </w:p>
          <w:p w:rsidR="005247AA" w:rsidRDefault="005247AA" w:rsidP="005247AA">
            <w:pPr>
              <w:widowControl w:val="0"/>
              <w:contextualSpacing/>
              <w:rPr>
                <w:rFonts w:asciiTheme="minorHAnsi" w:hAnsiTheme="minorHAnsi"/>
                <w:b/>
                <w:color w:val="auto"/>
                <w:sz w:val="20"/>
                <w:szCs w:val="20"/>
              </w:rPr>
            </w:pPr>
            <w:r w:rsidRPr="00EE4713">
              <w:rPr>
                <w:rFonts w:asciiTheme="minorHAnsi" w:hAnsiTheme="minorHAnsi"/>
                <w:b/>
                <w:color w:val="auto"/>
                <w:sz w:val="20"/>
                <w:szCs w:val="20"/>
              </w:rPr>
              <w:t>6. Assessment Uses</w:t>
            </w:r>
          </w:p>
          <w:p w:rsidR="005247AA" w:rsidRPr="005247AA" w:rsidRDefault="005247AA" w:rsidP="005247AA">
            <w:pPr>
              <w:widowControl w:val="0"/>
              <w:contextualSpacing/>
              <w:rPr>
                <w:rFonts w:asciiTheme="minorHAnsi" w:hAnsiTheme="minorHAnsi"/>
                <w:color w:val="auto"/>
                <w:sz w:val="20"/>
                <w:szCs w:val="20"/>
              </w:rPr>
            </w:pPr>
          </w:p>
          <w:p w:rsidR="00CC49EE" w:rsidRPr="00965B23" w:rsidRDefault="00CC49EE" w:rsidP="00965B23">
            <w:pPr>
              <w:widowControl w:val="0"/>
              <w:numPr>
                <w:ilvl w:val="0"/>
                <w:numId w:val="7"/>
              </w:numPr>
              <w:ind w:left="285" w:hanging="270"/>
              <w:contextualSpacing/>
              <w:rPr>
                <w:rFonts w:asciiTheme="minorHAnsi" w:hAnsiTheme="minorHAnsi"/>
                <w:color w:val="auto"/>
                <w:sz w:val="20"/>
                <w:szCs w:val="20"/>
              </w:rPr>
            </w:pPr>
            <w:r w:rsidRPr="00EE4713">
              <w:rPr>
                <w:rFonts w:asciiTheme="minorHAnsi" w:hAnsiTheme="minorHAnsi"/>
                <w:color w:val="auto"/>
                <w:sz w:val="20"/>
                <w:szCs w:val="20"/>
              </w:rPr>
              <w:t>Tea</w:t>
            </w:r>
            <w:r w:rsidR="001F39D9">
              <w:rPr>
                <w:rFonts w:asciiTheme="minorHAnsi" w:hAnsiTheme="minorHAnsi"/>
                <w:color w:val="auto"/>
                <w:sz w:val="20"/>
                <w:szCs w:val="20"/>
              </w:rPr>
              <w:t>cher uses a variety of assessments</w:t>
            </w:r>
            <w:r w:rsidRPr="00EE4713">
              <w:rPr>
                <w:rFonts w:asciiTheme="minorHAnsi" w:hAnsiTheme="minorHAnsi"/>
                <w:color w:val="auto"/>
                <w:sz w:val="20"/>
                <w:szCs w:val="20"/>
              </w:rPr>
              <w:t xml:space="preserve"> and data sources to monitor student learning, provide targeted feedback, and adjust instructional plans along each of the three dimensions.</w:t>
            </w:r>
          </w:p>
          <w:p w:rsidR="000A4CE1" w:rsidRPr="00965B23" w:rsidRDefault="00CC49EE" w:rsidP="00965B23">
            <w:pPr>
              <w:widowControl w:val="0"/>
              <w:numPr>
                <w:ilvl w:val="0"/>
                <w:numId w:val="7"/>
              </w:numPr>
              <w:ind w:left="285" w:hanging="270"/>
              <w:contextualSpacing/>
              <w:rPr>
                <w:rFonts w:asciiTheme="minorHAnsi" w:hAnsiTheme="minorHAnsi"/>
                <w:color w:val="auto"/>
                <w:sz w:val="20"/>
                <w:szCs w:val="20"/>
              </w:rPr>
            </w:pPr>
            <w:r w:rsidRPr="00EE4713">
              <w:rPr>
                <w:rFonts w:asciiTheme="minorHAnsi" w:hAnsiTheme="minorHAnsi"/>
                <w:color w:val="auto"/>
                <w:sz w:val="20"/>
                <w:szCs w:val="20"/>
              </w:rPr>
              <w:t>Teacher facilitates</w:t>
            </w:r>
            <w:r w:rsidR="001F39D9">
              <w:rPr>
                <w:rFonts w:asciiTheme="minorHAnsi" w:hAnsiTheme="minorHAnsi"/>
                <w:color w:val="auto"/>
                <w:sz w:val="20"/>
                <w:szCs w:val="20"/>
              </w:rPr>
              <w:t xml:space="preserve"> students in self-assessing </w:t>
            </w:r>
            <w:r w:rsidRPr="00EE4713">
              <w:rPr>
                <w:rFonts w:asciiTheme="minorHAnsi" w:hAnsiTheme="minorHAnsi"/>
                <w:color w:val="auto"/>
                <w:sz w:val="20"/>
                <w:szCs w:val="20"/>
              </w:rPr>
              <w:t>in support of three-dimensional learning.</w:t>
            </w:r>
          </w:p>
          <w:p w:rsidR="000A4CE1" w:rsidRPr="00EE4713" w:rsidRDefault="000A4CE1" w:rsidP="000A4CE1">
            <w:pPr>
              <w:widowControl w:val="0"/>
              <w:ind w:left="285"/>
              <w:contextualSpacing/>
              <w:rPr>
                <w:rFonts w:asciiTheme="minorHAnsi" w:hAnsiTheme="minorHAnsi"/>
                <w:color w:val="auto"/>
                <w:sz w:val="20"/>
                <w:szCs w:val="20"/>
              </w:rPr>
            </w:pPr>
          </w:p>
        </w:tc>
        <w:tc>
          <w:tcPr>
            <w:tcW w:w="6030" w:type="dxa"/>
          </w:tcPr>
          <w:p w:rsidR="00CC49EE" w:rsidRPr="00EE4713" w:rsidRDefault="00CC49EE" w:rsidP="009A5652">
            <w:pPr>
              <w:widowControl w:val="0"/>
              <w:ind w:left="285"/>
              <w:contextualSpacing/>
              <w:rPr>
                <w:rFonts w:asciiTheme="minorHAnsi" w:hAnsiTheme="minorHAnsi"/>
                <w:color w:val="auto"/>
                <w:sz w:val="20"/>
                <w:szCs w:val="20"/>
              </w:rPr>
            </w:pPr>
          </w:p>
        </w:tc>
      </w:tr>
      <w:tr w:rsidR="00CC49EE" w:rsidRPr="00EE4713" w:rsidTr="000A76F5">
        <w:tc>
          <w:tcPr>
            <w:tcW w:w="8185" w:type="dxa"/>
          </w:tcPr>
          <w:p w:rsidR="000A4CE1" w:rsidRDefault="000A4CE1" w:rsidP="000A4CE1">
            <w:pPr>
              <w:widowControl w:val="0"/>
              <w:contextualSpacing/>
              <w:rPr>
                <w:rFonts w:asciiTheme="minorHAnsi" w:hAnsiTheme="minorHAnsi"/>
                <w:b/>
                <w:color w:val="auto"/>
                <w:sz w:val="20"/>
                <w:szCs w:val="20"/>
              </w:rPr>
            </w:pPr>
          </w:p>
          <w:p w:rsidR="000A4CE1" w:rsidRDefault="000A4CE1" w:rsidP="000A4CE1">
            <w:pPr>
              <w:widowControl w:val="0"/>
              <w:contextualSpacing/>
              <w:rPr>
                <w:rFonts w:asciiTheme="minorHAnsi" w:hAnsiTheme="minorHAnsi"/>
                <w:b/>
                <w:color w:val="auto"/>
                <w:sz w:val="20"/>
                <w:szCs w:val="20"/>
              </w:rPr>
            </w:pPr>
            <w:r w:rsidRPr="00EE4713">
              <w:rPr>
                <w:rFonts w:asciiTheme="minorHAnsi" w:hAnsiTheme="minorHAnsi"/>
                <w:b/>
                <w:color w:val="auto"/>
                <w:sz w:val="20"/>
                <w:szCs w:val="20"/>
              </w:rPr>
              <w:t>7. Positive Learning Environment</w:t>
            </w:r>
          </w:p>
          <w:p w:rsidR="000A4CE1" w:rsidRDefault="000A4CE1" w:rsidP="000A4CE1">
            <w:pPr>
              <w:widowControl w:val="0"/>
              <w:contextualSpacing/>
              <w:rPr>
                <w:rFonts w:asciiTheme="minorHAnsi" w:hAnsiTheme="minorHAnsi"/>
                <w:color w:val="auto"/>
                <w:sz w:val="20"/>
                <w:szCs w:val="20"/>
              </w:rPr>
            </w:pPr>
          </w:p>
          <w:p w:rsidR="00CC49EE" w:rsidRPr="00965B23" w:rsidRDefault="00CC49EE" w:rsidP="00965B23">
            <w:pPr>
              <w:widowControl w:val="0"/>
              <w:numPr>
                <w:ilvl w:val="0"/>
                <w:numId w:val="6"/>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Teac</w:t>
            </w:r>
            <w:r w:rsidR="00741817">
              <w:rPr>
                <w:rFonts w:asciiTheme="minorHAnsi" w:hAnsiTheme="minorHAnsi"/>
                <w:color w:val="auto"/>
                <w:sz w:val="20"/>
                <w:szCs w:val="20"/>
              </w:rPr>
              <w:t xml:space="preserve">her </w:t>
            </w:r>
            <w:r w:rsidRPr="00EE4713">
              <w:rPr>
                <w:rFonts w:asciiTheme="minorHAnsi" w:hAnsiTheme="minorHAnsi"/>
                <w:color w:val="auto"/>
                <w:sz w:val="20"/>
                <w:szCs w:val="20"/>
              </w:rPr>
              <w:t>promotes respect for student diversity, and facilitates produ</w:t>
            </w:r>
            <w:r w:rsidR="001F39D9">
              <w:rPr>
                <w:rFonts w:asciiTheme="minorHAnsi" w:hAnsiTheme="minorHAnsi"/>
                <w:color w:val="auto"/>
                <w:sz w:val="20"/>
                <w:szCs w:val="20"/>
              </w:rPr>
              <w:t>ctive classroom discourse.</w:t>
            </w:r>
          </w:p>
          <w:p w:rsidR="00CC49EE" w:rsidRPr="00965B23" w:rsidRDefault="00CC49EE" w:rsidP="00965B23">
            <w:pPr>
              <w:widowControl w:val="0"/>
              <w:numPr>
                <w:ilvl w:val="0"/>
                <w:numId w:val="6"/>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Teacher uses phenomena to connect learning to students’ diverse interest, identities, and backgrounds.</w:t>
            </w:r>
          </w:p>
          <w:p w:rsidR="00CC49EE" w:rsidRDefault="00CC49EE">
            <w:pPr>
              <w:widowControl w:val="0"/>
              <w:numPr>
                <w:ilvl w:val="0"/>
                <w:numId w:val="6"/>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Teacher provides safe learning experiences that give all students access to 3D science learning.</w:t>
            </w:r>
          </w:p>
          <w:p w:rsidR="000A4CE1" w:rsidRPr="00EE4713" w:rsidRDefault="000A4CE1" w:rsidP="00965B23">
            <w:pPr>
              <w:widowControl w:val="0"/>
              <w:contextualSpacing/>
              <w:rPr>
                <w:rFonts w:asciiTheme="minorHAnsi" w:hAnsiTheme="minorHAnsi"/>
                <w:color w:val="auto"/>
                <w:sz w:val="20"/>
                <w:szCs w:val="20"/>
              </w:rPr>
            </w:pPr>
          </w:p>
        </w:tc>
        <w:tc>
          <w:tcPr>
            <w:tcW w:w="6030" w:type="dxa"/>
          </w:tcPr>
          <w:p w:rsidR="00CC49EE" w:rsidRPr="00EE4713" w:rsidRDefault="00CC49EE" w:rsidP="009A5652">
            <w:pPr>
              <w:widowControl w:val="0"/>
              <w:ind w:left="255"/>
              <w:contextualSpacing/>
              <w:rPr>
                <w:rFonts w:asciiTheme="minorHAnsi" w:hAnsiTheme="minorHAnsi"/>
                <w:color w:val="auto"/>
                <w:sz w:val="20"/>
                <w:szCs w:val="20"/>
              </w:rPr>
            </w:pPr>
          </w:p>
        </w:tc>
      </w:tr>
      <w:tr w:rsidR="00CC49EE" w:rsidRPr="00EE4713" w:rsidTr="000A76F5">
        <w:tc>
          <w:tcPr>
            <w:tcW w:w="8185" w:type="dxa"/>
          </w:tcPr>
          <w:p w:rsidR="000A4CE1" w:rsidRDefault="000A4CE1" w:rsidP="000A4CE1">
            <w:pPr>
              <w:widowControl w:val="0"/>
              <w:ind w:left="255"/>
              <w:contextualSpacing/>
              <w:rPr>
                <w:rFonts w:asciiTheme="minorHAnsi" w:hAnsiTheme="minorHAnsi"/>
                <w:color w:val="auto"/>
                <w:sz w:val="20"/>
                <w:szCs w:val="20"/>
              </w:rPr>
            </w:pPr>
          </w:p>
          <w:p w:rsidR="000A4CE1" w:rsidRDefault="000A4CE1" w:rsidP="000A4CE1">
            <w:pPr>
              <w:widowControl w:val="0"/>
              <w:contextualSpacing/>
              <w:rPr>
                <w:rFonts w:asciiTheme="minorHAnsi" w:hAnsiTheme="minorHAnsi"/>
                <w:b/>
                <w:color w:val="auto"/>
                <w:sz w:val="20"/>
                <w:szCs w:val="20"/>
              </w:rPr>
            </w:pPr>
            <w:r w:rsidRPr="00EE4713">
              <w:rPr>
                <w:rFonts w:asciiTheme="minorHAnsi" w:hAnsiTheme="minorHAnsi"/>
                <w:b/>
                <w:color w:val="auto"/>
                <w:sz w:val="20"/>
                <w:szCs w:val="20"/>
              </w:rPr>
              <w:t>8. Academically Challenging Environment</w:t>
            </w:r>
          </w:p>
          <w:p w:rsidR="000A4CE1" w:rsidRDefault="000A4CE1" w:rsidP="000A4CE1">
            <w:pPr>
              <w:widowControl w:val="0"/>
              <w:contextualSpacing/>
              <w:rPr>
                <w:rFonts w:asciiTheme="minorHAnsi" w:hAnsiTheme="minorHAnsi"/>
                <w:color w:val="auto"/>
                <w:sz w:val="20"/>
                <w:szCs w:val="20"/>
              </w:rPr>
            </w:pPr>
          </w:p>
          <w:p w:rsidR="00CC49EE" w:rsidRPr="00965B23" w:rsidRDefault="00CC49EE" w:rsidP="00965B23">
            <w:pPr>
              <w:widowControl w:val="0"/>
              <w:numPr>
                <w:ilvl w:val="0"/>
                <w:numId w:val="4"/>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Teacher promotes an envi</w:t>
            </w:r>
            <w:r w:rsidR="000A4CE1">
              <w:rPr>
                <w:rFonts w:asciiTheme="minorHAnsi" w:hAnsiTheme="minorHAnsi"/>
                <w:color w:val="auto"/>
                <w:sz w:val="20"/>
                <w:szCs w:val="20"/>
              </w:rPr>
              <w:t>ronment of inquiry and</w:t>
            </w:r>
            <w:r w:rsidRPr="00EE4713">
              <w:rPr>
                <w:rFonts w:asciiTheme="minorHAnsi" w:hAnsiTheme="minorHAnsi"/>
                <w:color w:val="auto"/>
                <w:sz w:val="20"/>
                <w:szCs w:val="20"/>
              </w:rPr>
              <w:t xml:space="preserve"> pro</w:t>
            </w:r>
            <w:r w:rsidR="000A4CE1">
              <w:rPr>
                <w:rFonts w:asciiTheme="minorHAnsi" w:hAnsiTheme="minorHAnsi"/>
                <w:color w:val="auto"/>
                <w:sz w:val="20"/>
                <w:szCs w:val="20"/>
              </w:rPr>
              <w:t xml:space="preserve">blem solving in which </w:t>
            </w:r>
            <w:r w:rsidRPr="00EE4713">
              <w:rPr>
                <w:rFonts w:asciiTheme="minorHAnsi" w:hAnsiTheme="minorHAnsi"/>
                <w:color w:val="auto"/>
                <w:sz w:val="20"/>
                <w:szCs w:val="20"/>
              </w:rPr>
              <w:t>explanations and solutions are valued.</w:t>
            </w:r>
          </w:p>
          <w:p w:rsidR="00CC49EE" w:rsidRPr="00965B23" w:rsidRDefault="00CC49EE" w:rsidP="00965B23">
            <w:pPr>
              <w:widowControl w:val="0"/>
              <w:numPr>
                <w:ilvl w:val="0"/>
                <w:numId w:val="4"/>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Teacher promotes rigor through devel</w:t>
            </w:r>
            <w:r w:rsidR="000A4CE1">
              <w:rPr>
                <w:rFonts w:asciiTheme="minorHAnsi" w:hAnsiTheme="minorHAnsi"/>
                <w:color w:val="auto"/>
                <w:sz w:val="20"/>
                <w:szCs w:val="20"/>
              </w:rPr>
              <w:t xml:space="preserve">opment </w:t>
            </w:r>
            <w:r w:rsidRPr="00EE4713">
              <w:rPr>
                <w:rFonts w:asciiTheme="minorHAnsi" w:hAnsiTheme="minorHAnsi"/>
                <w:color w:val="auto"/>
                <w:sz w:val="20"/>
                <w:szCs w:val="20"/>
              </w:rPr>
              <w:t>of conceptual understanding, rather than rote learning.</w:t>
            </w:r>
          </w:p>
          <w:p w:rsidR="00CC49EE" w:rsidRPr="00965B23" w:rsidRDefault="00CC49EE" w:rsidP="00965B23">
            <w:pPr>
              <w:widowControl w:val="0"/>
              <w:numPr>
                <w:ilvl w:val="0"/>
                <w:numId w:val="4"/>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Teacher promotes student self-direction in selecting and applying science and engineering practices, crosscutting concepts, and problem-solving approaches, as appropriate to the specific task.</w:t>
            </w:r>
          </w:p>
          <w:p w:rsidR="00CC49EE" w:rsidRPr="00EE4713" w:rsidRDefault="00CC49EE" w:rsidP="000A4CE1">
            <w:pPr>
              <w:widowControl w:val="0"/>
              <w:numPr>
                <w:ilvl w:val="0"/>
                <w:numId w:val="4"/>
              </w:numPr>
              <w:ind w:left="255" w:hanging="270"/>
              <w:contextualSpacing/>
              <w:rPr>
                <w:rFonts w:asciiTheme="minorHAnsi" w:hAnsiTheme="minorHAnsi"/>
                <w:color w:val="auto"/>
                <w:sz w:val="20"/>
                <w:szCs w:val="20"/>
              </w:rPr>
            </w:pPr>
            <w:r w:rsidRPr="00EE4713">
              <w:rPr>
                <w:rFonts w:asciiTheme="minorHAnsi" w:hAnsiTheme="minorHAnsi"/>
                <w:color w:val="auto"/>
                <w:sz w:val="20"/>
                <w:szCs w:val="20"/>
              </w:rPr>
              <w:t xml:space="preserve">Teacher uses science- or STEM-based </w:t>
            </w:r>
            <w:r w:rsidR="000A4CE1">
              <w:rPr>
                <w:rFonts w:asciiTheme="minorHAnsi" w:hAnsiTheme="minorHAnsi"/>
                <w:color w:val="auto"/>
                <w:sz w:val="20"/>
                <w:szCs w:val="20"/>
              </w:rPr>
              <w:t xml:space="preserve">project/problem-based learning, </w:t>
            </w:r>
            <w:r w:rsidRPr="00EE4713">
              <w:rPr>
                <w:rFonts w:asciiTheme="minorHAnsi" w:hAnsiTheme="minorHAnsi"/>
                <w:color w:val="auto"/>
                <w:sz w:val="20"/>
                <w:szCs w:val="20"/>
              </w:rPr>
              <w:t>or investigations to fos</w:t>
            </w:r>
            <w:r w:rsidR="000A4CE1">
              <w:rPr>
                <w:rFonts w:asciiTheme="minorHAnsi" w:hAnsiTheme="minorHAnsi"/>
                <w:color w:val="auto"/>
                <w:sz w:val="20"/>
                <w:szCs w:val="20"/>
              </w:rPr>
              <w:t>ter students’ critical thinking</w:t>
            </w:r>
            <w:r w:rsidRPr="00EE4713">
              <w:rPr>
                <w:rFonts w:asciiTheme="minorHAnsi" w:hAnsiTheme="minorHAnsi"/>
                <w:color w:val="auto"/>
                <w:sz w:val="20"/>
                <w:szCs w:val="20"/>
              </w:rPr>
              <w:t>.</w:t>
            </w:r>
          </w:p>
        </w:tc>
        <w:tc>
          <w:tcPr>
            <w:tcW w:w="6030" w:type="dxa"/>
          </w:tcPr>
          <w:p w:rsidR="00CC49EE" w:rsidRPr="00EE4713" w:rsidRDefault="00CC49EE" w:rsidP="009A5652">
            <w:pPr>
              <w:widowControl w:val="0"/>
              <w:ind w:left="255"/>
              <w:contextualSpacing/>
              <w:rPr>
                <w:rFonts w:asciiTheme="minorHAnsi" w:hAnsiTheme="minorHAnsi"/>
                <w:color w:val="auto"/>
                <w:sz w:val="20"/>
                <w:szCs w:val="20"/>
              </w:rPr>
            </w:pPr>
          </w:p>
        </w:tc>
      </w:tr>
    </w:tbl>
    <w:p w:rsidR="002E50A3" w:rsidRDefault="002E50A3">
      <w:pPr>
        <w:rPr>
          <w:color w:val="auto"/>
          <w:sz w:val="20"/>
          <w:szCs w:val="20"/>
        </w:rPr>
      </w:pPr>
    </w:p>
    <w:p w:rsidR="00741817" w:rsidRDefault="00741817" w:rsidP="00741817">
      <w:pPr>
        <w:rPr>
          <w:sz w:val="20"/>
          <w:szCs w:val="20"/>
          <w:highlight w:val="white"/>
        </w:rPr>
      </w:pPr>
      <w:r>
        <w:rPr>
          <w:color w:val="auto"/>
          <w:sz w:val="20"/>
          <w:szCs w:val="20"/>
        </w:rPr>
        <w:t>*</w:t>
      </w:r>
      <w:r w:rsidRPr="00741817">
        <w:rPr>
          <w:b/>
          <w:sz w:val="20"/>
          <w:szCs w:val="20"/>
        </w:rPr>
        <w:t xml:space="preserve"> </w:t>
      </w:r>
      <w:r>
        <w:rPr>
          <w:b/>
          <w:sz w:val="20"/>
          <w:szCs w:val="20"/>
        </w:rPr>
        <w:t>Overview of 3D Learning</w:t>
      </w:r>
    </w:p>
    <w:p w:rsidR="00741817" w:rsidRDefault="00741817" w:rsidP="00741817">
      <w:pPr>
        <w:rPr>
          <w:sz w:val="20"/>
          <w:szCs w:val="20"/>
          <w:highlight w:val="white"/>
        </w:rPr>
      </w:pPr>
      <w:r>
        <w:rPr>
          <w:sz w:val="20"/>
          <w:szCs w:val="20"/>
          <w:highlight w:val="white"/>
        </w:rPr>
        <w:t xml:space="preserve">The Science Georgia Standards of Excellence/Cobb CTLS call for students to engage in what is called three-dimensional learning.  </w:t>
      </w:r>
      <w:r>
        <w:rPr>
          <w:b/>
          <w:i/>
          <w:sz w:val="20"/>
          <w:szCs w:val="20"/>
          <w:highlight w:val="white"/>
        </w:rPr>
        <w:t>Core Ideas</w:t>
      </w:r>
      <w:r>
        <w:rPr>
          <w:sz w:val="20"/>
          <w:szCs w:val="20"/>
          <w:highlight w:val="white"/>
        </w:rPr>
        <w:t xml:space="preserve"> define concepts that help students make sense of a the natural world and solve problems; </w:t>
      </w:r>
      <w:r>
        <w:rPr>
          <w:b/>
          <w:i/>
          <w:sz w:val="20"/>
          <w:szCs w:val="20"/>
          <w:highlight w:val="white"/>
        </w:rPr>
        <w:t>Crosscutting Concepts</w:t>
      </w:r>
      <w:r>
        <w:rPr>
          <w:sz w:val="20"/>
          <w:szCs w:val="20"/>
          <w:highlight w:val="white"/>
        </w:rPr>
        <w:t xml:space="preserve"> define the “big ideas” that apply across all scientific disciplines; and </w:t>
      </w:r>
      <w:r>
        <w:rPr>
          <w:b/>
          <w:i/>
          <w:sz w:val="20"/>
          <w:szCs w:val="20"/>
          <w:highlight w:val="white"/>
        </w:rPr>
        <w:t>Science and Engineering Practices</w:t>
      </w:r>
      <w:r>
        <w:rPr>
          <w:sz w:val="20"/>
          <w:szCs w:val="20"/>
          <w:highlight w:val="white"/>
        </w:rPr>
        <w:t xml:space="preserve"> describe behaviors that allow scientists to investigate the natural world and engineers to design solutions to important problems.  Students should simultaneously apply core ideas, crosscutting concepts, and practices as they seek to explain real-world phenomena or solve meaningful problems.</w:t>
      </w:r>
    </w:p>
    <w:p w:rsidR="00741817" w:rsidRPr="00EE4713" w:rsidRDefault="00741817">
      <w:pPr>
        <w:rPr>
          <w:color w:val="auto"/>
          <w:sz w:val="20"/>
          <w:szCs w:val="20"/>
        </w:rPr>
      </w:pPr>
    </w:p>
    <w:sectPr w:rsidR="00741817" w:rsidRPr="00EE4713" w:rsidSect="000A76F5">
      <w:pgSz w:w="15840" w:h="12240" w:orient="landscape"/>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EC" w:rsidRDefault="003E22EC">
      <w:pPr>
        <w:spacing w:line="240" w:lineRule="auto"/>
      </w:pPr>
      <w:r>
        <w:separator/>
      </w:r>
    </w:p>
  </w:endnote>
  <w:endnote w:type="continuationSeparator" w:id="0">
    <w:p w:rsidR="003E22EC" w:rsidRDefault="003E2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EC" w:rsidRDefault="003E22EC">
      <w:pPr>
        <w:spacing w:line="240" w:lineRule="auto"/>
      </w:pPr>
      <w:r>
        <w:separator/>
      </w:r>
    </w:p>
  </w:footnote>
  <w:footnote w:type="continuationSeparator" w:id="0">
    <w:p w:rsidR="003E22EC" w:rsidRDefault="003E22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3AC"/>
    <w:multiLevelType w:val="hybridMultilevel"/>
    <w:tmpl w:val="1AAA402E"/>
    <w:lvl w:ilvl="0" w:tplc="0AF47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62E27"/>
    <w:multiLevelType w:val="multilevel"/>
    <w:tmpl w:val="70EED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37E2775"/>
    <w:multiLevelType w:val="multilevel"/>
    <w:tmpl w:val="D0107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87E78F6"/>
    <w:multiLevelType w:val="multilevel"/>
    <w:tmpl w:val="931C1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F677937"/>
    <w:multiLevelType w:val="multilevel"/>
    <w:tmpl w:val="E6029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0EF33A7"/>
    <w:multiLevelType w:val="multilevel"/>
    <w:tmpl w:val="72C42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43705E6"/>
    <w:multiLevelType w:val="multilevel"/>
    <w:tmpl w:val="E85EE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5335F79"/>
    <w:multiLevelType w:val="multilevel"/>
    <w:tmpl w:val="D8E6A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630318C"/>
    <w:multiLevelType w:val="multilevel"/>
    <w:tmpl w:val="1ED424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9176A33"/>
    <w:multiLevelType w:val="multilevel"/>
    <w:tmpl w:val="D98ED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9B447A6"/>
    <w:multiLevelType w:val="hybridMultilevel"/>
    <w:tmpl w:val="F204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16B2D"/>
    <w:multiLevelType w:val="multilevel"/>
    <w:tmpl w:val="F7BCA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5"/>
  </w:num>
  <w:num w:numId="3">
    <w:abstractNumId w:val="11"/>
  </w:num>
  <w:num w:numId="4">
    <w:abstractNumId w:val="4"/>
  </w:num>
  <w:num w:numId="5">
    <w:abstractNumId w:val="6"/>
  </w:num>
  <w:num w:numId="6">
    <w:abstractNumId w:val="1"/>
  </w:num>
  <w:num w:numId="7">
    <w:abstractNumId w:val="8"/>
  </w:num>
  <w:num w:numId="8">
    <w:abstractNumId w:val="3"/>
  </w:num>
  <w:num w:numId="9">
    <w:abstractNumId w:val="7"/>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A3"/>
    <w:rsid w:val="000500C2"/>
    <w:rsid w:val="000A4CE1"/>
    <w:rsid w:val="000A76F5"/>
    <w:rsid w:val="001336AB"/>
    <w:rsid w:val="001F39D9"/>
    <w:rsid w:val="00210A9A"/>
    <w:rsid w:val="00273537"/>
    <w:rsid w:val="002C16DA"/>
    <w:rsid w:val="002E50A3"/>
    <w:rsid w:val="00320FE4"/>
    <w:rsid w:val="00384E6B"/>
    <w:rsid w:val="003E22EC"/>
    <w:rsid w:val="004020CC"/>
    <w:rsid w:val="00416123"/>
    <w:rsid w:val="00465C70"/>
    <w:rsid w:val="005247AA"/>
    <w:rsid w:val="00562213"/>
    <w:rsid w:val="005A3D2B"/>
    <w:rsid w:val="005A5BEE"/>
    <w:rsid w:val="005B70F3"/>
    <w:rsid w:val="006716F6"/>
    <w:rsid w:val="006978FD"/>
    <w:rsid w:val="006A6AEE"/>
    <w:rsid w:val="006E3195"/>
    <w:rsid w:val="00741817"/>
    <w:rsid w:val="007E3BF4"/>
    <w:rsid w:val="008405B6"/>
    <w:rsid w:val="008E5220"/>
    <w:rsid w:val="00925E05"/>
    <w:rsid w:val="00965B23"/>
    <w:rsid w:val="009904A5"/>
    <w:rsid w:val="009A5652"/>
    <w:rsid w:val="00AF1E00"/>
    <w:rsid w:val="00B221D4"/>
    <w:rsid w:val="00B43678"/>
    <w:rsid w:val="00BD25A2"/>
    <w:rsid w:val="00BF2522"/>
    <w:rsid w:val="00CC49EE"/>
    <w:rsid w:val="00DF5B52"/>
    <w:rsid w:val="00EE4713"/>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0FE6"/>
  <w15:docId w15:val="{63A38C76-867A-412F-9C93-15ED4426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562213"/>
    <w:pPr>
      <w:tabs>
        <w:tab w:val="center" w:pos="4680"/>
        <w:tab w:val="right" w:pos="9360"/>
      </w:tabs>
      <w:spacing w:line="240" w:lineRule="auto"/>
    </w:pPr>
  </w:style>
  <w:style w:type="character" w:customStyle="1" w:styleId="HeaderChar">
    <w:name w:val="Header Char"/>
    <w:basedOn w:val="DefaultParagraphFont"/>
    <w:link w:val="Header"/>
    <w:uiPriority w:val="99"/>
    <w:rsid w:val="00562213"/>
  </w:style>
  <w:style w:type="paragraph" w:styleId="Footer">
    <w:name w:val="footer"/>
    <w:basedOn w:val="Normal"/>
    <w:link w:val="FooterChar"/>
    <w:uiPriority w:val="99"/>
    <w:unhideWhenUsed/>
    <w:rsid w:val="00562213"/>
    <w:pPr>
      <w:tabs>
        <w:tab w:val="center" w:pos="4680"/>
        <w:tab w:val="right" w:pos="9360"/>
      </w:tabs>
      <w:spacing w:line="240" w:lineRule="auto"/>
    </w:pPr>
  </w:style>
  <w:style w:type="character" w:customStyle="1" w:styleId="FooterChar">
    <w:name w:val="Footer Char"/>
    <w:basedOn w:val="DefaultParagraphFont"/>
    <w:link w:val="Footer"/>
    <w:uiPriority w:val="99"/>
    <w:rsid w:val="00562213"/>
  </w:style>
  <w:style w:type="character" w:customStyle="1" w:styleId="normaltextrun1">
    <w:name w:val="normaltextrun1"/>
    <w:basedOn w:val="DefaultParagraphFont"/>
    <w:rsid w:val="000500C2"/>
  </w:style>
  <w:style w:type="table" w:styleId="ListTable6Colorful-Accent5">
    <w:name w:val="List Table 6 Colorful Accent 5"/>
    <w:basedOn w:val="TableNormal"/>
    <w:uiPriority w:val="51"/>
    <w:rsid w:val="009904A5"/>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EE4713"/>
    <w:pPr>
      <w:ind w:left="720"/>
      <w:contextualSpacing/>
    </w:pPr>
  </w:style>
  <w:style w:type="table" w:styleId="GridTable6Colorful">
    <w:name w:val="Grid Table 6 Colorful"/>
    <w:basedOn w:val="TableNormal"/>
    <w:uiPriority w:val="51"/>
    <w:rsid w:val="00CC49E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7D95-9946-4EE2-88E1-0FE5B286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Matthews</dc:creator>
  <cp:lastModifiedBy>Christian Cali</cp:lastModifiedBy>
  <cp:revision>8</cp:revision>
  <dcterms:created xsi:type="dcterms:W3CDTF">2017-08-18T18:21:00Z</dcterms:created>
  <dcterms:modified xsi:type="dcterms:W3CDTF">2017-08-28T16:50:00Z</dcterms:modified>
</cp:coreProperties>
</file>